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E434" w14:textId="2DE2A9BC" w:rsidR="000E1C96" w:rsidRPr="000256E4" w:rsidRDefault="00E127A0">
      <w:pPr>
        <w:rPr>
          <w:b/>
          <w:bCs/>
        </w:rPr>
      </w:pPr>
      <w:r w:rsidRPr="000256E4">
        <w:rPr>
          <w:b/>
          <w:bCs/>
        </w:rPr>
        <w:t xml:space="preserve">Draft Plan for </w:t>
      </w:r>
      <w:r w:rsidR="00857C1A" w:rsidRPr="000256E4">
        <w:rPr>
          <w:b/>
          <w:bCs/>
        </w:rPr>
        <w:t>Ethics “Study Days”</w:t>
      </w:r>
    </w:p>
    <w:p w14:paraId="6EEB01A9" w14:textId="0B90115B" w:rsidR="009E527D" w:rsidRPr="000256E4" w:rsidRDefault="009E527D" w:rsidP="009E527D">
      <w:pPr>
        <w:pStyle w:val="NormalWeb"/>
        <w:rPr>
          <w:rFonts w:asciiTheme="minorHAnsi" w:hAnsiTheme="minorHAnsi"/>
        </w:rPr>
      </w:pPr>
      <w:r w:rsidRPr="000256E4">
        <w:rPr>
          <w:rStyle w:val="Strong"/>
          <w:rFonts w:asciiTheme="minorHAnsi" w:eastAsiaTheme="majorEastAsia" w:hAnsiTheme="minorHAnsi"/>
        </w:rPr>
        <w:t>Purpose</w:t>
      </w:r>
      <w:r w:rsidRPr="000256E4">
        <w:rPr>
          <w:rFonts w:asciiTheme="minorHAnsi" w:hAnsiTheme="minorHAnsi"/>
        </w:rPr>
        <w:br/>
        <w:t xml:space="preserve">The “Ethics </w:t>
      </w:r>
      <w:r w:rsidR="000256E4" w:rsidRPr="000256E4">
        <w:rPr>
          <w:rFonts w:asciiTheme="minorHAnsi" w:hAnsiTheme="minorHAnsi"/>
        </w:rPr>
        <w:t xml:space="preserve">Study </w:t>
      </w:r>
      <w:r w:rsidRPr="000256E4">
        <w:rPr>
          <w:rFonts w:asciiTheme="minorHAnsi" w:hAnsiTheme="minorHAnsi"/>
        </w:rPr>
        <w:t>Day</w:t>
      </w:r>
      <w:r w:rsidR="000256E4" w:rsidRPr="000256E4">
        <w:rPr>
          <w:rFonts w:asciiTheme="minorHAnsi" w:hAnsiTheme="minorHAnsi"/>
        </w:rPr>
        <w:t>s</w:t>
      </w:r>
      <w:r w:rsidRPr="000256E4">
        <w:rPr>
          <w:rFonts w:asciiTheme="minorHAnsi" w:hAnsiTheme="minorHAnsi"/>
        </w:rPr>
        <w:t>” will serve as study session</w:t>
      </w:r>
      <w:r w:rsidR="000256E4" w:rsidRPr="000256E4">
        <w:rPr>
          <w:rFonts w:asciiTheme="minorHAnsi" w:hAnsiTheme="minorHAnsi"/>
        </w:rPr>
        <w:t>s</w:t>
      </w:r>
      <w:r w:rsidRPr="000256E4">
        <w:rPr>
          <w:rFonts w:asciiTheme="minorHAnsi" w:hAnsiTheme="minorHAnsi"/>
        </w:rPr>
        <w:t xml:space="preserve"> to explore best practices for the creation and management of a fully functioning and independent ethics commission. The goal is to review lessons learned from existing commissions, identify benchmarks of robust and effective structures, and discuss how these insights can inform recommendations for Los Angeles County.</w:t>
      </w:r>
    </w:p>
    <w:p w14:paraId="48AB9E2A" w14:textId="77777777" w:rsidR="009E527D" w:rsidRPr="000256E4" w:rsidRDefault="009E527D" w:rsidP="009E527D">
      <w:pPr>
        <w:pStyle w:val="NormalWeb"/>
        <w:rPr>
          <w:rFonts w:asciiTheme="minorHAnsi" w:hAnsiTheme="minorHAnsi"/>
        </w:rPr>
      </w:pPr>
      <w:r w:rsidRPr="000256E4">
        <w:rPr>
          <w:rStyle w:val="Strong"/>
          <w:rFonts w:asciiTheme="minorHAnsi" w:eastAsiaTheme="majorEastAsia" w:hAnsiTheme="minorHAnsi"/>
        </w:rPr>
        <w:t>Key Readings for Taskforce &amp; Public</w:t>
      </w:r>
    </w:p>
    <w:p w14:paraId="7ADF8F24" w14:textId="77777777" w:rsidR="009E527D" w:rsidRPr="000256E4" w:rsidRDefault="009E527D" w:rsidP="009E527D">
      <w:pPr>
        <w:pStyle w:val="NormalWeb"/>
        <w:numPr>
          <w:ilvl w:val="0"/>
          <w:numId w:val="6"/>
        </w:numPr>
        <w:rPr>
          <w:rFonts w:asciiTheme="minorHAnsi" w:hAnsiTheme="minorHAnsi"/>
        </w:rPr>
      </w:pPr>
      <w:r w:rsidRPr="000256E4">
        <w:rPr>
          <w:rStyle w:val="Emphasis"/>
          <w:rFonts w:asciiTheme="minorHAnsi" w:eastAsiaTheme="majorEastAsia" w:hAnsiTheme="minorHAnsi"/>
        </w:rPr>
        <w:t>County Counsel Ethics Report</w:t>
      </w:r>
      <w:r w:rsidRPr="000256E4">
        <w:rPr>
          <w:rFonts w:asciiTheme="minorHAnsi" w:hAnsiTheme="minorHAnsi"/>
        </w:rPr>
        <w:t xml:space="preserve"> – presentation and discussion with County Counsel.</w:t>
      </w:r>
    </w:p>
    <w:p w14:paraId="6D8348C5" w14:textId="77777777" w:rsidR="009E527D" w:rsidRPr="000256E4" w:rsidRDefault="009E527D" w:rsidP="009E527D">
      <w:pPr>
        <w:pStyle w:val="NormalWeb"/>
        <w:numPr>
          <w:ilvl w:val="0"/>
          <w:numId w:val="6"/>
        </w:numPr>
        <w:rPr>
          <w:rFonts w:asciiTheme="minorHAnsi" w:hAnsiTheme="minorHAnsi"/>
        </w:rPr>
      </w:pPr>
      <w:r w:rsidRPr="000256E4">
        <w:rPr>
          <w:rStyle w:val="Emphasis"/>
          <w:rFonts w:asciiTheme="minorHAnsi" w:eastAsiaTheme="majorEastAsia" w:hAnsiTheme="minorHAnsi"/>
        </w:rPr>
        <w:t>Loyola Marymount University Report on Comparative Ethics Commissions.</w:t>
      </w:r>
    </w:p>
    <w:p w14:paraId="608B8E99" w14:textId="77777777" w:rsidR="009E527D" w:rsidRPr="000256E4" w:rsidRDefault="009E527D" w:rsidP="009E527D">
      <w:pPr>
        <w:pStyle w:val="NormalWeb"/>
        <w:numPr>
          <w:ilvl w:val="0"/>
          <w:numId w:val="6"/>
        </w:numPr>
        <w:rPr>
          <w:rFonts w:asciiTheme="minorHAnsi" w:hAnsiTheme="minorHAnsi"/>
        </w:rPr>
      </w:pPr>
      <w:r w:rsidRPr="000256E4">
        <w:rPr>
          <w:rStyle w:val="Emphasis"/>
          <w:rFonts w:asciiTheme="minorHAnsi" w:eastAsiaTheme="majorEastAsia" w:hAnsiTheme="minorHAnsi"/>
        </w:rPr>
        <w:t>Los Angeles City Ethics Commission Reports.</w:t>
      </w:r>
    </w:p>
    <w:p w14:paraId="6A7BF678" w14:textId="25846E1C" w:rsidR="00E127A0" w:rsidRPr="000256E4" w:rsidRDefault="009E527D" w:rsidP="009E527D">
      <w:pPr>
        <w:pStyle w:val="NormalWeb"/>
        <w:numPr>
          <w:ilvl w:val="0"/>
          <w:numId w:val="6"/>
        </w:numPr>
        <w:rPr>
          <w:rFonts w:asciiTheme="minorHAnsi" w:hAnsiTheme="minorHAnsi"/>
        </w:rPr>
      </w:pPr>
      <w:r w:rsidRPr="000256E4">
        <w:rPr>
          <w:rFonts w:asciiTheme="minorHAnsi" w:hAnsiTheme="minorHAnsi"/>
        </w:rPr>
        <w:t>Additional resources from Common Cause, League of Women Voters, Brennan Center for Justice (TBA).</w:t>
      </w:r>
    </w:p>
    <w:p w14:paraId="7A972228" w14:textId="7FF91B47" w:rsidR="000256E4" w:rsidRPr="000256E4" w:rsidRDefault="000256E4" w:rsidP="009E527D">
      <w:pPr>
        <w:pStyle w:val="NormalWeb"/>
        <w:numPr>
          <w:ilvl w:val="0"/>
          <w:numId w:val="6"/>
        </w:numPr>
        <w:rPr>
          <w:rFonts w:asciiTheme="minorHAnsi" w:hAnsiTheme="minorHAnsi"/>
        </w:rPr>
      </w:pPr>
      <w:r w:rsidRPr="000256E4">
        <w:rPr>
          <w:rFonts w:asciiTheme="minorHAnsi" w:hAnsiTheme="minorHAnsi"/>
        </w:rPr>
        <w:t>Others?</w:t>
      </w:r>
    </w:p>
    <w:p w14:paraId="086A1F9D" w14:textId="77777777" w:rsidR="009E527D" w:rsidRPr="000256E4" w:rsidRDefault="009E527D" w:rsidP="009E527D">
      <w:pPr>
        <w:pStyle w:val="NoSpacing"/>
      </w:pPr>
    </w:p>
    <w:p w14:paraId="05786380" w14:textId="77777777" w:rsidR="009E527D" w:rsidRPr="000256E4" w:rsidRDefault="009E527D" w:rsidP="009E527D">
      <w:pPr>
        <w:pStyle w:val="NoSpacing"/>
        <w:rPr>
          <w:b/>
          <w:bCs/>
          <w:u w:val="single"/>
        </w:rPr>
      </w:pPr>
      <w:r w:rsidRPr="000256E4">
        <w:rPr>
          <w:b/>
          <w:bCs/>
          <w:u w:val="single"/>
        </w:rPr>
        <w:t>Session Topics and Discussion Areas</w:t>
      </w:r>
    </w:p>
    <w:p w14:paraId="69788903" w14:textId="388D9CA7" w:rsidR="009E527D" w:rsidRPr="000256E4" w:rsidRDefault="00E127A0" w:rsidP="009E527D">
      <w:pPr>
        <w:pStyle w:val="NoSpacing"/>
      </w:pPr>
      <w:r w:rsidRPr="000256E4">
        <w:rPr>
          <w:b/>
          <w:bCs/>
        </w:rPr>
        <w:t>Benchmarks of a Robust Ethics Commission</w:t>
      </w:r>
      <w:r w:rsidR="000256E4">
        <w:rPr>
          <w:b/>
          <w:bCs/>
        </w:rPr>
        <w:t xml:space="preserve"> (Big Picture Considerations)</w:t>
      </w:r>
      <w:r w:rsidR="00857C1A" w:rsidRPr="000256E4">
        <w:rPr>
          <w:b/>
          <w:bCs/>
        </w:rPr>
        <w:t xml:space="preserve"> – September 24</w:t>
      </w:r>
      <w:r w:rsidR="00245147" w:rsidRPr="000256E4">
        <w:br/>
      </w:r>
      <w:r w:rsidR="009E527D" w:rsidRPr="000256E4">
        <w:rPr>
          <w:i/>
          <w:iCs/>
        </w:rPr>
        <w:t xml:space="preserve">Focus: </w:t>
      </w:r>
      <w:r w:rsidR="009E527D" w:rsidRPr="000256E4">
        <w:t>B</w:t>
      </w:r>
      <w:r w:rsidR="009E527D" w:rsidRPr="000256E4">
        <w:t>est practices in the establishment and staffing of ethics commissions</w:t>
      </w:r>
      <w:r w:rsidR="009E527D" w:rsidRPr="000256E4">
        <w:t xml:space="preserve">; </w:t>
      </w:r>
      <w:r w:rsidR="009E527D" w:rsidRPr="000256E4">
        <w:t>Lessons learned from the creation of the LA City Ethics Commission and the Fair Political Practices Commission (FPPC)</w:t>
      </w:r>
      <w:r w:rsidR="009E527D" w:rsidRPr="000256E4">
        <w:t xml:space="preserve">; </w:t>
      </w:r>
      <w:r w:rsidR="009E527D" w:rsidRPr="000256E4">
        <w:t>The role of political appointees: balancing independence with accountability.</w:t>
      </w:r>
    </w:p>
    <w:p w14:paraId="3244E7D4" w14:textId="77777777" w:rsidR="009E527D" w:rsidRPr="000256E4" w:rsidRDefault="009E527D" w:rsidP="009E527D">
      <w:pPr>
        <w:pStyle w:val="NoSpacing"/>
        <w:rPr>
          <w:i/>
          <w:iCs/>
        </w:rPr>
      </w:pPr>
    </w:p>
    <w:p w14:paraId="67E9D006" w14:textId="1235F988" w:rsidR="009E527D" w:rsidRPr="000256E4" w:rsidRDefault="009E527D" w:rsidP="009E527D">
      <w:pPr>
        <w:pStyle w:val="NoSpacing"/>
        <w:rPr>
          <w:i/>
          <w:iCs/>
        </w:rPr>
      </w:pPr>
      <w:r w:rsidRPr="000256E4">
        <w:rPr>
          <w:i/>
          <w:iCs/>
        </w:rPr>
        <w:t>Proposed Speakers:</w:t>
      </w:r>
    </w:p>
    <w:p w14:paraId="284C4BDF" w14:textId="77777777" w:rsidR="00E127A0" w:rsidRPr="000256E4" w:rsidRDefault="00E127A0" w:rsidP="00974BA8">
      <w:pPr>
        <w:pStyle w:val="ListParagraph"/>
        <w:numPr>
          <w:ilvl w:val="0"/>
          <w:numId w:val="4"/>
        </w:numPr>
      </w:pPr>
      <w:r w:rsidRPr="000256E4">
        <w:rPr>
          <w:b/>
          <w:bCs/>
          <w:color w:val="222222"/>
          <w:shd w:val="clear" w:color="auto" w:fill="FFFFFF"/>
        </w:rPr>
        <w:t>Bob Stern</w:t>
      </w:r>
      <w:r w:rsidRPr="000256E4">
        <w:rPr>
          <w:color w:val="222222"/>
          <w:shd w:val="clear" w:color="auto" w:fill="FFFFFF"/>
        </w:rPr>
        <w:t xml:space="preserve"> - </w:t>
      </w:r>
      <w:r w:rsidRPr="000256E4">
        <w:rPr>
          <w:color w:val="222222"/>
          <w:shd w:val="clear" w:color="auto" w:fill="FFFFFF"/>
        </w:rPr>
        <w:t>Authored state’s Political Reform Act establishing the Fair Political Practices Commission (FPPC) as well as the LA City </w:t>
      </w:r>
      <w:r w:rsidRPr="000256E4">
        <w:rPr>
          <w:rStyle w:val="il"/>
          <w:color w:val="222222"/>
          <w:shd w:val="clear" w:color="auto" w:fill="FFFFFF"/>
        </w:rPr>
        <w:t>Ethics</w:t>
      </w:r>
      <w:r w:rsidRPr="000256E4">
        <w:rPr>
          <w:color w:val="222222"/>
          <w:shd w:val="clear" w:color="auto" w:fill="FFFFFF"/>
        </w:rPr>
        <w:t> Commission. He currently sits on the LA City </w:t>
      </w:r>
      <w:r w:rsidRPr="000256E4">
        <w:rPr>
          <w:rStyle w:val="il"/>
          <w:color w:val="222222"/>
          <w:shd w:val="clear" w:color="auto" w:fill="FFFFFF"/>
        </w:rPr>
        <w:t>Ethics</w:t>
      </w:r>
      <w:r w:rsidRPr="000256E4">
        <w:rPr>
          <w:color w:val="222222"/>
          <w:shd w:val="clear" w:color="auto" w:fill="FFFFFF"/>
        </w:rPr>
        <w:t> commission.</w:t>
      </w:r>
      <w:r w:rsidRPr="000256E4">
        <w:t xml:space="preserve"> </w:t>
      </w:r>
    </w:p>
    <w:p w14:paraId="1B00A5A9" w14:textId="509B913C" w:rsidR="00E127A0" w:rsidRPr="000256E4" w:rsidRDefault="00E127A0" w:rsidP="00974BA8">
      <w:pPr>
        <w:pStyle w:val="ListParagraph"/>
        <w:numPr>
          <w:ilvl w:val="0"/>
          <w:numId w:val="4"/>
        </w:numPr>
      </w:pPr>
      <w:r w:rsidRPr="000256E4">
        <w:rPr>
          <w:b/>
          <w:bCs/>
        </w:rPr>
        <w:t>Kathay Feng</w:t>
      </w:r>
      <w:r w:rsidRPr="000256E4">
        <w:t xml:space="preserve"> - </w:t>
      </w:r>
      <w:r w:rsidRPr="000256E4">
        <w:rPr>
          <w:color w:val="222222"/>
          <w:shd w:val="clear" w:color="auto" w:fill="FFFFFF"/>
        </w:rPr>
        <w:t>Formerly the head of California Common Cause, though I just learned she is now working for the county with the LA County Registrar.</w:t>
      </w:r>
    </w:p>
    <w:p w14:paraId="67136349" w14:textId="0216F109" w:rsidR="00E127A0" w:rsidRPr="000256E4" w:rsidRDefault="009E527D" w:rsidP="009E527D">
      <w:pPr>
        <w:pStyle w:val="NoSpacing"/>
        <w:rPr>
          <w:i/>
          <w:iCs/>
        </w:rPr>
      </w:pPr>
      <w:r w:rsidRPr="000256E4">
        <w:rPr>
          <w:i/>
          <w:iCs/>
        </w:rPr>
        <w:t>Framing Questions: (Gabs had you collected others?)</w:t>
      </w:r>
    </w:p>
    <w:p w14:paraId="56E6CC47" w14:textId="34930BC4" w:rsidR="009E527D" w:rsidRPr="000256E4" w:rsidRDefault="009E527D" w:rsidP="009E527D">
      <w:pPr>
        <w:pStyle w:val="NoSpacing"/>
        <w:numPr>
          <w:ilvl w:val="0"/>
          <w:numId w:val="4"/>
        </w:numPr>
        <w:rPr>
          <w:i/>
          <w:iCs/>
        </w:rPr>
      </w:pPr>
      <w:r w:rsidRPr="000256E4">
        <w:rPr>
          <w:i/>
          <w:iCs/>
        </w:rPr>
        <w:t>What institutional design features contribute to the independence and credibility of an ethics commission?</w:t>
      </w:r>
    </w:p>
    <w:p w14:paraId="6F37ABE9" w14:textId="47A65A5B" w:rsidR="009E527D" w:rsidRPr="000256E4" w:rsidRDefault="009E527D" w:rsidP="009E527D">
      <w:pPr>
        <w:pStyle w:val="NoSpacing"/>
        <w:numPr>
          <w:ilvl w:val="0"/>
          <w:numId w:val="4"/>
        </w:numPr>
        <w:rPr>
          <w:i/>
          <w:iCs/>
        </w:rPr>
      </w:pPr>
      <w:r w:rsidRPr="000256E4">
        <w:rPr>
          <w:i/>
          <w:iCs/>
        </w:rPr>
        <w:t>How should commissioners be appointed to maximize both legitimacy and independence?</w:t>
      </w:r>
    </w:p>
    <w:p w14:paraId="45CB0DF8" w14:textId="50FDCEE8" w:rsidR="009E527D" w:rsidRPr="000256E4" w:rsidRDefault="009E527D" w:rsidP="009E527D">
      <w:pPr>
        <w:pStyle w:val="NoSpacing"/>
        <w:numPr>
          <w:ilvl w:val="0"/>
          <w:numId w:val="4"/>
        </w:numPr>
        <w:rPr>
          <w:i/>
          <w:iCs/>
        </w:rPr>
      </w:pPr>
      <w:r w:rsidRPr="000256E4">
        <w:rPr>
          <w:i/>
          <w:iCs/>
        </w:rPr>
        <w:t>What lessons from state and city commissions are most relevant to the County?</w:t>
      </w:r>
    </w:p>
    <w:p w14:paraId="64DFC9E2" w14:textId="77777777" w:rsidR="009E527D" w:rsidRPr="000256E4" w:rsidRDefault="009E527D"/>
    <w:p w14:paraId="350FED35" w14:textId="694617E7" w:rsidR="00245147" w:rsidRPr="000256E4" w:rsidRDefault="00E127A0" w:rsidP="00245147">
      <w:pPr>
        <w:pStyle w:val="NoSpacing"/>
        <w:rPr>
          <w:b/>
          <w:bCs/>
        </w:rPr>
      </w:pPr>
      <w:r w:rsidRPr="000256E4">
        <w:rPr>
          <w:b/>
          <w:bCs/>
        </w:rPr>
        <w:lastRenderedPageBreak/>
        <w:t>Considerations in Compliance and Management of an Ethics Department</w:t>
      </w:r>
      <w:r w:rsidR="000256E4">
        <w:rPr>
          <w:b/>
          <w:bCs/>
        </w:rPr>
        <w:t xml:space="preserve"> – October 8th</w:t>
      </w:r>
    </w:p>
    <w:p w14:paraId="49CC9D5E" w14:textId="248556F3" w:rsidR="009E527D" w:rsidRPr="000256E4" w:rsidRDefault="009E527D" w:rsidP="009E527D">
      <w:pPr>
        <w:pStyle w:val="NoSpacing"/>
        <w:rPr>
          <w:i/>
          <w:iCs/>
        </w:rPr>
      </w:pPr>
      <w:r w:rsidRPr="000256E4">
        <w:rPr>
          <w:i/>
          <w:iCs/>
        </w:rPr>
        <w:t xml:space="preserve">Focus: </w:t>
      </w:r>
      <w:r w:rsidRPr="000256E4">
        <w:rPr>
          <w:i/>
          <w:iCs/>
        </w:rPr>
        <w:t>Who is ultimately responsible for compliance?</w:t>
      </w:r>
      <w:r w:rsidRPr="000256E4">
        <w:rPr>
          <w:i/>
          <w:iCs/>
        </w:rPr>
        <w:t xml:space="preserve"> </w:t>
      </w:r>
      <w:r w:rsidRPr="000256E4">
        <w:rPr>
          <w:i/>
          <w:iCs/>
        </w:rPr>
        <w:t>How do commissions monitor, enforce, and manage oversight processes?</w:t>
      </w:r>
    </w:p>
    <w:p w14:paraId="48C7AA4A" w14:textId="77777777" w:rsidR="009E527D" w:rsidRPr="000256E4" w:rsidRDefault="009E527D" w:rsidP="00245147">
      <w:pPr>
        <w:pStyle w:val="NoSpacing"/>
        <w:rPr>
          <w:i/>
          <w:iCs/>
        </w:rPr>
      </w:pPr>
    </w:p>
    <w:p w14:paraId="05889FA8" w14:textId="5BE0591E" w:rsidR="00245147" w:rsidRPr="000256E4" w:rsidRDefault="009E527D" w:rsidP="00245147">
      <w:pPr>
        <w:pStyle w:val="NoSpacing"/>
        <w:rPr>
          <w:i/>
          <w:iCs/>
        </w:rPr>
      </w:pPr>
      <w:r w:rsidRPr="000256E4">
        <w:rPr>
          <w:i/>
          <w:iCs/>
        </w:rPr>
        <w:t xml:space="preserve">Proposed Speakers: </w:t>
      </w:r>
    </w:p>
    <w:p w14:paraId="1A1E0309" w14:textId="5DDC6F48" w:rsidR="00E127A0" w:rsidRPr="000256E4" w:rsidRDefault="00E127A0" w:rsidP="00E127A0">
      <w:pPr>
        <w:pStyle w:val="ListParagraph"/>
        <w:numPr>
          <w:ilvl w:val="0"/>
          <w:numId w:val="1"/>
        </w:numPr>
      </w:pPr>
      <w:r w:rsidRPr="000256E4">
        <w:rPr>
          <w:b/>
          <w:bCs/>
        </w:rPr>
        <w:t>David Tristan</w:t>
      </w:r>
      <w:r w:rsidR="00974BA8" w:rsidRPr="000256E4">
        <w:t xml:space="preserve"> - </w:t>
      </w:r>
      <w:r w:rsidRPr="000256E4">
        <w:t>Executive Director, Los Angeles City Ethics Commission</w:t>
      </w:r>
    </w:p>
    <w:p w14:paraId="424AAD47" w14:textId="1E40AC07" w:rsidR="00E127A0" w:rsidRPr="000256E4" w:rsidRDefault="00E127A0" w:rsidP="00E127A0">
      <w:pPr>
        <w:pStyle w:val="ListParagraph"/>
        <w:numPr>
          <w:ilvl w:val="0"/>
          <w:numId w:val="1"/>
        </w:numPr>
      </w:pPr>
      <w:r w:rsidRPr="000256E4">
        <w:rPr>
          <w:b/>
          <w:bCs/>
        </w:rPr>
        <w:t>Galena West</w:t>
      </w:r>
      <w:r w:rsidR="00974BA8" w:rsidRPr="000256E4">
        <w:t xml:space="preserve"> - </w:t>
      </w:r>
      <w:r w:rsidRPr="000256E4">
        <w:t>Executive Director, Fair Political Practices Commission</w:t>
      </w:r>
    </w:p>
    <w:p w14:paraId="667FD343" w14:textId="77777777" w:rsidR="009E527D" w:rsidRPr="000256E4" w:rsidRDefault="009E527D" w:rsidP="009E527D">
      <w:pPr>
        <w:pStyle w:val="NoSpacing"/>
      </w:pPr>
      <w:r w:rsidRPr="000256E4">
        <w:rPr>
          <w:rStyle w:val="Emphasis"/>
        </w:rPr>
        <w:t>Framing Questions:</w:t>
      </w:r>
    </w:p>
    <w:p w14:paraId="22D004C5" w14:textId="77777777" w:rsidR="009E527D" w:rsidRPr="000256E4" w:rsidRDefault="009E527D" w:rsidP="009E527D">
      <w:pPr>
        <w:pStyle w:val="NoSpacing"/>
        <w:numPr>
          <w:ilvl w:val="0"/>
          <w:numId w:val="9"/>
        </w:numPr>
        <w:rPr>
          <w:i/>
          <w:iCs/>
        </w:rPr>
      </w:pPr>
      <w:r w:rsidRPr="000256E4">
        <w:rPr>
          <w:i/>
          <w:iCs/>
        </w:rPr>
        <w:t>What are the most effective tools for ensuring compliance with ethics regulations?</w:t>
      </w:r>
    </w:p>
    <w:p w14:paraId="3F6710CE" w14:textId="77777777" w:rsidR="009E527D" w:rsidRPr="000256E4" w:rsidRDefault="009E527D" w:rsidP="009E527D">
      <w:pPr>
        <w:pStyle w:val="NoSpacing"/>
        <w:numPr>
          <w:ilvl w:val="0"/>
          <w:numId w:val="9"/>
        </w:numPr>
        <w:rPr>
          <w:i/>
          <w:iCs/>
        </w:rPr>
      </w:pPr>
      <w:r w:rsidRPr="000256E4">
        <w:rPr>
          <w:i/>
          <w:iCs/>
        </w:rPr>
        <w:t>How should commissions balance enforcement with education and guidance?</w:t>
      </w:r>
    </w:p>
    <w:p w14:paraId="40235EE0" w14:textId="3D429BFD" w:rsidR="009E527D" w:rsidRPr="000256E4" w:rsidRDefault="009E527D" w:rsidP="009E527D">
      <w:pPr>
        <w:pStyle w:val="NoSpacing"/>
        <w:numPr>
          <w:ilvl w:val="0"/>
          <w:numId w:val="9"/>
        </w:numPr>
        <w:rPr>
          <w:i/>
          <w:iCs/>
        </w:rPr>
      </w:pPr>
      <w:r w:rsidRPr="000256E4">
        <w:rPr>
          <w:i/>
          <w:iCs/>
        </w:rPr>
        <w:t>What staffing and resource levels are necessary for effective compliance monitoring?</w:t>
      </w:r>
    </w:p>
    <w:p w14:paraId="7DF422C2" w14:textId="0F5816A2" w:rsidR="00E127A0" w:rsidRPr="000256E4" w:rsidRDefault="00E127A0" w:rsidP="00E127A0"/>
    <w:p w14:paraId="3405EC1A" w14:textId="5BC7B6BB" w:rsidR="009E527D" w:rsidRPr="000256E4" w:rsidRDefault="00E127A0" w:rsidP="009E527D">
      <w:pPr>
        <w:pStyle w:val="NoSpacing"/>
        <w:rPr>
          <w:b/>
          <w:bCs/>
        </w:rPr>
      </w:pPr>
      <w:r w:rsidRPr="000256E4">
        <w:rPr>
          <w:b/>
          <w:bCs/>
        </w:rPr>
        <w:t>Commissioner View</w:t>
      </w:r>
      <w:r w:rsidR="00857C1A" w:rsidRPr="000256E4">
        <w:rPr>
          <w:b/>
          <w:bCs/>
        </w:rPr>
        <w:t>/Legal-Research</w:t>
      </w:r>
      <w:r w:rsidR="000256E4">
        <w:rPr>
          <w:b/>
          <w:bCs/>
        </w:rPr>
        <w:t xml:space="preserve"> – October 8</w:t>
      </w:r>
      <w:r w:rsidR="000256E4" w:rsidRPr="000256E4">
        <w:rPr>
          <w:b/>
          <w:bCs/>
          <w:vertAlign w:val="superscript"/>
        </w:rPr>
        <w:t>th</w:t>
      </w:r>
      <w:r w:rsidR="000256E4">
        <w:rPr>
          <w:b/>
          <w:bCs/>
        </w:rPr>
        <w:t xml:space="preserve"> or October 29th</w:t>
      </w:r>
    </w:p>
    <w:p w14:paraId="20ACF607" w14:textId="7B5F4C1B" w:rsidR="009E527D" w:rsidRPr="000256E4" w:rsidRDefault="009E527D" w:rsidP="009E527D">
      <w:pPr>
        <w:pStyle w:val="NoSpacing"/>
        <w:rPr>
          <w:i/>
          <w:iCs/>
        </w:rPr>
      </w:pPr>
      <w:r w:rsidRPr="000256E4">
        <w:rPr>
          <w:i/>
          <w:iCs/>
        </w:rPr>
        <w:t>Focus: T</w:t>
      </w:r>
      <w:r w:rsidRPr="000256E4">
        <w:rPr>
          <w:i/>
          <w:iCs/>
        </w:rPr>
        <w:t>he role commissioners play in governance and oversight</w:t>
      </w:r>
      <w:r w:rsidRPr="000256E4">
        <w:rPr>
          <w:i/>
          <w:iCs/>
        </w:rPr>
        <w:t xml:space="preserve">; </w:t>
      </w:r>
      <w:r w:rsidRPr="000256E4">
        <w:rPr>
          <w:i/>
          <w:iCs/>
        </w:rPr>
        <w:t>Appointment and training processes</w:t>
      </w:r>
      <w:r w:rsidRPr="000256E4">
        <w:rPr>
          <w:i/>
          <w:iCs/>
        </w:rPr>
        <w:t xml:space="preserve">; </w:t>
      </w:r>
      <w:r w:rsidRPr="000256E4">
        <w:rPr>
          <w:i/>
          <w:iCs/>
        </w:rPr>
        <w:t>Collaboration between commissioners and professional staff.</w:t>
      </w:r>
    </w:p>
    <w:p w14:paraId="2D1CB94C" w14:textId="77777777" w:rsidR="009E527D" w:rsidRPr="000256E4" w:rsidRDefault="009E527D" w:rsidP="009E527D">
      <w:pPr>
        <w:pStyle w:val="NoSpacing"/>
        <w:rPr>
          <w:i/>
          <w:iCs/>
        </w:rPr>
      </w:pPr>
    </w:p>
    <w:p w14:paraId="353BF5CB" w14:textId="4546183D" w:rsidR="009E527D" w:rsidRPr="000256E4" w:rsidRDefault="009E527D" w:rsidP="009E527D">
      <w:pPr>
        <w:pStyle w:val="NoSpacing"/>
        <w:rPr>
          <w:i/>
          <w:iCs/>
        </w:rPr>
      </w:pPr>
      <w:r w:rsidRPr="000256E4">
        <w:rPr>
          <w:i/>
          <w:iCs/>
        </w:rPr>
        <w:t>Proposed Speakers</w:t>
      </w:r>
    </w:p>
    <w:p w14:paraId="00E7632C" w14:textId="623F6614" w:rsidR="00974BA8" w:rsidRPr="000256E4" w:rsidRDefault="00974BA8" w:rsidP="009E527D">
      <w:pPr>
        <w:pStyle w:val="ListParagraph"/>
        <w:numPr>
          <w:ilvl w:val="0"/>
          <w:numId w:val="10"/>
        </w:numPr>
        <w:rPr>
          <w:rFonts w:cs="Arial"/>
          <w:color w:val="222222"/>
        </w:rPr>
      </w:pPr>
      <w:r w:rsidRPr="000256E4">
        <w:rPr>
          <w:rFonts w:cs="Arial"/>
          <w:b/>
          <w:bCs/>
          <w:color w:val="222222"/>
        </w:rPr>
        <w:t>Abby Wood </w:t>
      </w:r>
      <w:r w:rsidRPr="000256E4">
        <w:rPr>
          <w:rFonts w:cs="Arial"/>
          <w:color w:val="222222"/>
        </w:rPr>
        <w:t>– Member of the state’s FPPC and USC Public Policy Professor who studies campaign finance laws.</w:t>
      </w:r>
    </w:p>
    <w:p w14:paraId="680453ED" w14:textId="241A4747" w:rsidR="00974BA8" w:rsidRPr="000256E4" w:rsidRDefault="00974BA8" w:rsidP="009E527D">
      <w:pPr>
        <w:pStyle w:val="m4169821899962218021msolistparagraph"/>
        <w:numPr>
          <w:ilvl w:val="0"/>
          <w:numId w:val="2"/>
        </w:numPr>
        <w:shd w:val="clear" w:color="auto" w:fill="FFFFFF"/>
        <w:spacing w:before="0" w:beforeAutospacing="0" w:after="0" w:afterAutospacing="0"/>
        <w:rPr>
          <w:rFonts w:asciiTheme="minorHAnsi" w:hAnsiTheme="minorHAnsi" w:cs="Arial"/>
          <w:color w:val="222222"/>
        </w:rPr>
      </w:pPr>
      <w:r w:rsidRPr="000256E4">
        <w:rPr>
          <w:rFonts w:asciiTheme="minorHAnsi" w:hAnsiTheme="minorHAnsi" w:cs="Arial"/>
          <w:b/>
          <w:bCs/>
          <w:color w:val="222222"/>
        </w:rPr>
        <w:t>Jeffrey Daar </w:t>
      </w:r>
      <w:r w:rsidRPr="000256E4">
        <w:rPr>
          <w:rFonts w:asciiTheme="minorHAnsi" w:hAnsiTheme="minorHAnsi" w:cs="Arial"/>
          <w:color w:val="222222"/>
        </w:rPr>
        <w:t>– Outgoing chair of the LA City </w:t>
      </w:r>
      <w:r w:rsidRPr="000256E4">
        <w:rPr>
          <w:rStyle w:val="il"/>
          <w:rFonts w:asciiTheme="minorHAnsi" w:eastAsiaTheme="majorEastAsia" w:hAnsiTheme="minorHAnsi" w:cs="Arial"/>
          <w:color w:val="222222"/>
        </w:rPr>
        <w:t>Ethics</w:t>
      </w:r>
      <w:r w:rsidRPr="000256E4">
        <w:rPr>
          <w:rFonts w:asciiTheme="minorHAnsi" w:hAnsiTheme="minorHAnsi" w:cs="Arial"/>
          <w:color w:val="222222"/>
        </w:rPr>
        <w:t> Commission</w:t>
      </w:r>
    </w:p>
    <w:p w14:paraId="22F2B272" w14:textId="77777777" w:rsidR="009E527D" w:rsidRPr="000256E4" w:rsidRDefault="009E527D" w:rsidP="00857C1A">
      <w:pPr>
        <w:pStyle w:val="m4169821899962218021msolistparagraph"/>
        <w:shd w:val="clear" w:color="auto" w:fill="FFFFFF"/>
        <w:spacing w:before="0" w:beforeAutospacing="0" w:after="0" w:afterAutospacing="0"/>
        <w:ind w:left="720"/>
        <w:rPr>
          <w:rFonts w:asciiTheme="minorHAnsi" w:hAnsiTheme="minorHAnsi" w:cs="Arial"/>
          <w:color w:val="222222"/>
        </w:rPr>
      </w:pPr>
    </w:p>
    <w:p w14:paraId="0CB29FF0" w14:textId="10508071" w:rsidR="00E127A0" w:rsidRPr="000256E4" w:rsidRDefault="009E527D" w:rsidP="009E527D">
      <w:pPr>
        <w:pStyle w:val="NoSpacing"/>
        <w:rPr>
          <w:i/>
          <w:iCs/>
        </w:rPr>
      </w:pPr>
      <w:r w:rsidRPr="000256E4">
        <w:rPr>
          <w:i/>
          <w:iCs/>
        </w:rPr>
        <w:t>Framing Questions:</w:t>
      </w:r>
    </w:p>
    <w:p w14:paraId="208162AD" w14:textId="77777777" w:rsidR="009E527D" w:rsidRPr="000256E4" w:rsidRDefault="009E527D" w:rsidP="009E527D">
      <w:pPr>
        <w:pStyle w:val="NoSpacing"/>
        <w:numPr>
          <w:ilvl w:val="0"/>
          <w:numId w:val="2"/>
        </w:numPr>
        <w:rPr>
          <w:i/>
          <w:iCs/>
        </w:rPr>
      </w:pPr>
      <w:r w:rsidRPr="000256E4">
        <w:rPr>
          <w:i/>
          <w:iCs/>
        </w:rPr>
        <w:t>How can commissioner training be standardized to ensure consistency and effectiveness?</w:t>
      </w:r>
    </w:p>
    <w:p w14:paraId="5FAF7F8E" w14:textId="77777777" w:rsidR="009E527D" w:rsidRPr="000256E4" w:rsidRDefault="009E527D" w:rsidP="009E527D">
      <w:pPr>
        <w:pStyle w:val="NoSpacing"/>
        <w:numPr>
          <w:ilvl w:val="0"/>
          <w:numId w:val="2"/>
        </w:numPr>
        <w:rPr>
          <w:i/>
          <w:iCs/>
        </w:rPr>
      </w:pPr>
      <w:r w:rsidRPr="000256E4">
        <w:rPr>
          <w:i/>
          <w:iCs/>
        </w:rPr>
        <w:t>What best practices exist for managing commissioner-staff relationships?</w:t>
      </w:r>
    </w:p>
    <w:p w14:paraId="6175CC40" w14:textId="7E51B5F7" w:rsidR="00E127A0" w:rsidRPr="000256E4" w:rsidRDefault="009E527D" w:rsidP="00E127A0">
      <w:pPr>
        <w:pStyle w:val="NoSpacing"/>
        <w:numPr>
          <w:ilvl w:val="0"/>
          <w:numId w:val="2"/>
        </w:numPr>
        <w:rPr>
          <w:i/>
          <w:iCs/>
        </w:rPr>
      </w:pPr>
      <w:r w:rsidRPr="000256E4">
        <w:rPr>
          <w:i/>
          <w:iCs/>
        </w:rPr>
        <w:t>How can commissioners contribute to long-term institutional trust and transparency?</w:t>
      </w:r>
    </w:p>
    <w:p w14:paraId="377F0275" w14:textId="77777777" w:rsidR="009E527D" w:rsidRPr="000256E4" w:rsidRDefault="009E527D" w:rsidP="009E527D">
      <w:pPr>
        <w:pStyle w:val="NormalWeb"/>
        <w:rPr>
          <w:rFonts w:asciiTheme="minorHAnsi" w:hAnsiTheme="minorHAnsi"/>
        </w:rPr>
      </w:pPr>
      <w:r w:rsidRPr="000256E4">
        <w:rPr>
          <w:rStyle w:val="Strong"/>
          <w:rFonts w:asciiTheme="minorHAnsi" w:eastAsiaTheme="majorEastAsia" w:hAnsiTheme="minorHAnsi"/>
        </w:rPr>
        <w:t>Next Steps</w:t>
      </w:r>
    </w:p>
    <w:p w14:paraId="1E8E12E8" w14:textId="77777777" w:rsidR="009E527D" w:rsidRPr="000256E4" w:rsidRDefault="009E527D" w:rsidP="009E527D">
      <w:pPr>
        <w:pStyle w:val="NormalWeb"/>
        <w:numPr>
          <w:ilvl w:val="0"/>
          <w:numId w:val="11"/>
        </w:numPr>
        <w:rPr>
          <w:rFonts w:asciiTheme="minorHAnsi" w:hAnsiTheme="minorHAnsi"/>
        </w:rPr>
      </w:pPr>
      <w:r w:rsidRPr="000256E4">
        <w:rPr>
          <w:rFonts w:asciiTheme="minorHAnsi" w:hAnsiTheme="minorHAnsi"/>
        </w:rPr>
        <w:t>Confirm speaker availability.</w:t>
      </w:r>
    </w:p>
    <w:p w14:paraId="4B77FDEF" w14:textId="77777777" w:rsidR="009E527D" w:rsidRPr="000256E4" w:rsidRDefault="009E527D" w:rsidP="009E527D">
      <w:pPr>
        <w:pStyle w:val="NormalWeb"/>
        <w:numPr>
          <w:ilvl w:val="0"/>
          <w:numId w:val="11"/>
        </w:numPr>
        <w:rPr>
          <w:rFonts w:asciiTheme="minorHAnsi" w:hAnsiTheme="minorHAnsi"/>
        </w:rPr>
      </w:pPr>
      <w:r w:rsidRPr="000256E4">
        <w:rPr>
          <w:rFonts w:asciiTheme="minorHAnsi" w:hAnsiTheme="minorHAnsi"/>
        </w:rPr>
        <w:t>Post readings publicly in advance to encourage informed participation.</w:t>
      </w:r>
    </w:p>
    <w:p w14:paraId="5555A7BE" w14:textId="32DE5CD9" w:rsidR="009E527D" w:rsidRPr="000256E4" w:rsidRDefault="009E527D" w:rsidP="009E527D">
      <w:pPr>
        <w:pStyle w:val="NormalWeb"/>
        <w:numPr>
          <w:ilvl w:val="0"/>
          <w:numId w:val="11"/>
        </w:numPr>
        <w:rPr>
          <w:rFonts w:asciiTheme="minorHAnsi" w:hAnsiTheme="minorHAnsi"/>
        </w:rPr>
      </w:pPr>
      <w:r w:rsidRPr="000256E4">
        <w:rPr>
          <w:rFonts w:asciiTheme="minorHAnsi" w:hAnsiTheme="minorHAnsi"/>
        </w:rPr>
        <w:t xml:space="preserve">Collect &amp; share additional </w:t>
      </w:r>
      <w:r w:rsidRPr="000256E4">
        <w:rPr>
          <w:rFonts w:asciiTheme="minorHAnsi" w:hAnsiTheme="minorHAnsi"/>
        </w:rPr>
        <w:t>framing questions with Taskforce members to prepare for robust discussion.</w:t>
      </w:r>
    </w:p>
    <w:p w14:paraId="52110FC5" w14:textId="77777777" w:rsidR="009E527D" w:rsidRPr="000256E4" w:rsidRDefault="009E527D" w:rsidP="009E527D">
      <w:pPr>
        <w:pStyle w:val="NormalWeb"/>
        <w:numPr>
          <w:ilvl w:val="0"/>
          <w:numId w:val="11"/>
        </w:numPr>
        <w:rPr>
          <w:rFonts w:asciiTheme="minorHAnsi" w:hAnsiTheme="minorHAnsi"/>
        </w:rPr>
      </w:pPr>
      <w:r w:rsidRPr="000256E4">
        <w:rPr>
          <w:rFonts w:asciiTheme="minorHAnsi" w:hAnsiTheme="minorHAnsi"/>
        </w:rPr>
        <w:t>Provide opportunities for Taskforce members and the public to raise questions following each panel.</w:t>
      </w:r>
    </w:p>
    <w:p w14:paraId="56389D0C" w14:textId="77777777" w:rsidR="009E527D" w:rsidRPr="000256E4" w:rsidRDefault="009E527D" w:rsidP="009E527D">
      <w:pPr>
        <w:pStyle w:val="NoSpacing"/>
        <w:rPr>
          <w:i/>
          <w:iCs/>
        </w:rPr>
      </w:pPr>
    </w:p>
    <w:p w14:paraId="6D1B6A1A" w14:textId="77777777" w:rsidR="009E527D" w:rsidRPr="000256E4" w:rsidRDefault="009E527D" w:rsidP="009E527D">
      <w:pPr>
        <w:pStyle w:val="NoSpacing"/>
        <w:rPr>
          <w:sz w:val="21"/>
          <w:szCs w:val="21"/>
        </w:rPr>
      </w:pPr>
    </w:p>
    <w:sectPr w:rsidR="009E527D" w:rsidRPr="00025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111D"/>
    <w:multiLevelType w:val="hybridMultilevel"/>
    <w:tmpl w:val="CFF8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262F2"/>
    <w:multiLevelType w:val="hybridMultilevel"/>
    <w:tmpl w:val="46C4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C50C6"/>
    <w:multiLevelType w:val="hybridMultilevel"/>
    <w:tmpl w:val="0E58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419AE"/>
    <w:multiLevelType w:val="hybridMultilevel"/>
    <w:tmpl w:val="B2D2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0379F"/>
    <w:multiLevelType w:val="multilevel"/>
    <w:tmpl w:val="27869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DF7F78"/>
    <w:multiLevelType w:val="multilevel"/>
    <w:tmpl w:val="E5C6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7D521F"/>
    <w:multiLevelType w:val="multilevel"/>
    <w:tmpl w:val="50D0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5D5531"/>
    <w:multiLevelType w:val="multilevel"/>
    <w:tmpl w:val="23A4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CD2A39"/>
    <w:multiLevelType w:val="hybridMultilevel"/>
    <w:tmpl w:val="EFD44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5F1E67"/>
    <w:multiLevelType w:val="hybridMultilevel"/>
    <w:tmpl w:val="C706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2E72B6"/>
    <w:multiLevelType w:val="hybridMultilevel"/>
    <w:tmpl w:val="FE96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04695">
    <w:abstractNumId w:val="1"/>
  </w:num>
  <w:num w:numId="2" w16cid:durableId="162819996">
    <w:abstractNumId w:val="0"/>
  </w:num>
  <w:num w:numId="3" w16cid:durableId="1514103832">
    <w:abstractNumId w:val="4"/>
  </w:num>
  <w:num w:numId="4" w16cid:durableId="811871594">
    <w:abstractNumId w:val="9"/>
  </w:num>
  <w:num w:numId="5" w16cid:durableId="1959295071">
    <w:abstractNumId w:val="2"/>
  </w:num>
  <w:num w:numId="6" w16cid:durableId="345638586">
    <w:abstractNumId w:val="6"/>
  </w:num>
  <w:num w:numId="7" w16cid:durableId="28145285">
    <w:abstractNumId w:val="3"/>
  </w:num>
  <w:num w:numId="8" w16cid:durableId="396171068">
    <w:abstractNumId w:val="5"/>
  </w:num>
  <w:num w:numId="9" w16cid:durableId="380323583">
    <w:abstractNumId w:val="8"/>
  </w:num>
  <w:num w:numId="10" w16cid:durableId="1834294146">
    <w:abstractNumId w:val="10"/>
  </w:num>
  <w:num w:numId="11" w16cid:durableId="1957254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A0"/>
    <w:rsid w:val="000256E4"/>
    <w:rsid w:val="000C0037"/>
    <w:rsid w:val="000E1C96"/>
    <w:rsid w:val="00245147"/>
    <w:rsid w:val="002B0A47"/>
    <w:rsid w:val="00562E7A"/>
    <w:rsid w:val="00857C1A"/>
    <w:rsid w:val="00974BA8"/>
    <w:rsid w:val="009E527D"/>
    <w:rsid w:val="009E529E"/>
    <w:rsid w:val="00CF4CD5"/>
    <w:rsid w:val="00E12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A48054"/>
  <w15:chartTrackingRefBased/>
  <w15:docId w15:val="{C00A031C-D0D7-3F41-8941-D1A4F9A8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7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7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7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7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7A0"/>
    <w:rPr>
      <w:rFonts w:eastAsiaTheme="majorEastAsia" w:cstheme="majorBidi"/>
      <w:color w:val="272727" w:themeColor="text1" w:themeTint="D8"/>
    </w:rPr>
  </w:style>
  <w:style w:type="paragraph" w:styleId="Title">
    <w:name w:val="Title"/>
    <w:basedOn w:val="Normal"/>
    <w:next w:val="Normal"/>
    <w:link w:val="TitleChar"/>
    <w:uiPriority w:val="10"/>
    <w:qFormat/>
    <w:rsid w:val="00E12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7A0"/>
    <w:pPr>
      <w:spacing w:before="160"/>
      <w:jc w:val="center"/>
    </w:pPr>
    <w:rPr>
      <w:i/>
      <w:iCs/>
      <w:color w:val="404040" w:themeColor="text1" w:themeTint="BF"/>
    </w:rPr>
  </w:style>
  <w:style w:type="character" w:customStyle="1" w:styleId="QuoteChar">
    <w:name w:val="Quote Char"/>
    <w:basedOn w:val="DefaultParagraphFont"/>
    <w:link w:val="Quote"/>
    <w:uiPriority w:val="29"/>
    <w:rsid w:val="00E127A0"/>
    <w:rPr>
      <w:i/>
      <w:iCs/>
      <w:color w:val="404040" w:themeColor="text1" w:themeTint="BF"/>
    </w:rPr>
  </w:style>
  <w:style w:type="paragraph" w:styleId="ListParagraph">
    <w:name w:val="List Paragraph"/>
    <w:basedOn w:val="Normal"/>
    <w:uiPriority w:val="34"/>
    <w:qFormat/>
    <w:rsid w:val="00E127A0"/>
    <w:pPr>
      <w:ind w:left="720"/>
      <w:contextualSpacing/>
    </w:pPr>
  </w:style>
  <w:style w:type="character" w:styleId="IntenseEmphasis">
    <w:name w:val="Intense Emphasis"/>
    <w:basedOn w:val="DefaultParagraphFont"/>
    <w:uiPriority w:val="21"/>
    <w:qFormat/>
    <w:rsid w:val="00E127A0"/>
    <w:rPr>
      <w:i/>
      <w:iCs/>
      <w:color w:val="0F4761" w:themeColor="accent1" w:themeShade="BF"/>
    </w:rPr>
  </w:style>
  <w:style w:type="paragraph" w:styleId="IntenseQuote">
    <w:name w:val="Intense Quote"/>
    <w:basedOn w:val="Normal"/>
    <w:next w:val="Normal"/>
    <w:link w:val="IntenseQuoteChar"/>
    <w:uiPriority w:val="30"/>
    <w:qFormat/>
    <w:rsid w:val="00E12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7A0"/>
    <w:rPr>
      <w:i/>
      <w:iCs/>
      <w:color w:val="0F4761" w:themeColor="accent1" w:themeShade="BF"/>
    </w:rPr>
  </w:style>
  <w:style w:type="character" w:styleId="IntenseReference">
    <w:name w:val="Intense Reference"/>
    <w:basedOn w:val="DefaultParagraphFont"/>
    <w:uiPriority w:val="32"/>
    <w:qFormat/>
    <w:rsid w:val="00E127A0"/>
    <w:rPr>
      <w:b/>
      <w:bCs/>
      <w:smallCaps/>
      <w:color w:val="0F4761" w:themeColor="accent1" w:themeShade="BF"/>
      <w:spacing w:val="5"/>
    </w:rPr>
  </w:style>
  <w:style w:type="character" w:customStyle="1" w:styleId="il">
    <w:name w:val="il"/>
    <w:basedOn w:val="DefaultParagraphFont"/>
    <w:rsid w:val="00E127A0"/>
  </w:style>
  <w:style w:type="paragraph" w:customStyle="1" w:styleId="m4169821899962218021msolistparagraph">
    <w:name w:val="m_4169821899962218021msolistparagraph"/>
    <w:basedOn w:val="Normal"/>
    <w:rsid w:val="00974BA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outlook-search-highlight">
    <w:name w:val="outlook-search-highlight"/>
    <w:basedOn w:val="DefaultParagraphFont"/>
    <w:rsid w:val="00245147"/>
  </w:style>
  <w:style w:type="paragraph" w:styleId="NoSpacing">
    <w:name w:val="No Spacing"/>
    <w:uiPriority w:val="1"/>
    <w:qFormat/>
    <w:rsid w:val="00245147"/>
    <w:pPr>
      <w:spacing w:after="0" w:line="240" w:lineRule="auto"/>
    </w:pPr>
  </w:style>
  <w:style w:type="paragraph" w:styleId="NormalWeb">
    <w:name w:val="Normal (Web)"/>
    <w:basedOn w:val="Normal"/>
    <w:uiPriority w:val="99"/>
    <w:unhideWhenUsed/>
    <w:rsid w:val="009E527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E527D"/>
    <w:rPr>
      <w:b/>
      <w:bCs/>
    </w:rPr>
  </w:style>
  <w:style w:type="character" w:styleId="Emphasis">
    <w:name w:val="Emphasis"/>
    <w:basedOn w:val="DefaultParagraphFont"/>
    <w:uiPriority w:val="20"/>
    <w:qFormat/>
    <w:rsid w:val="009E52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149">
      <w:bodyDiv w:val="1"/>
      <w:marLeft w:val="0"/>
      <w:marRight w:val="0"/>
      <w:marTop w:val="0"/>
      <w:marBottom w:val="0"/>
      <w:divBdr>
        <w:top w:val="none" w:sz="0" w:space="0" w:color="auto"/>
        <w:left w:val="none" w:sz="0" w:space="0" w:color="auto"/>
        <w:bottom w:val="none" w:sz="0" w:space="0" w:color="auto"/>
        <w:right w:val="none" w:sz="0" w:space="0" w:color="auto"/>
      </w:divBdr>
    </w:div>
    <w:div w:id="81075674">
      <w:bodyDiv w:val="1"/>
      <w:marLeft w:val="0"/>
      <w:marRight w:val="0"/>
      <w:marTop w:val="0"/>
      <w:marBottom w:val="0"/>
      <w:divBdr>
        <w:top w:val="none" w:sz="0" w:space="0" w:color="auto"/>
        <w:left w:val="none" w:sz="0" w:space="0" w:color="auto"/>
        <w:bottom w:val="none" w:sz="0" w:space="0" w:color="auto"/>
        <w:right w:val="none" w:sz="0" w:space="0" w:color="auto"/>
      </w:divBdr>
    </w:div>
    <w:div w:id="493648830">
      <w:bodyDiv w:val="1"/>
      <w:marLeft w:val="0"/>
      <w:marRight w:val="0"/>
      <w:marTop w:val="0"/>
      <w:marBottom w:val="0"/>
      <w:divBdr>
        <w:top w:val="none" w:sz="0" w:space="0" w:color="auto"/>
        <w:left w:val="none" w:sz="0" w:space="0" w:color="auto"/>
        <w:bottom w:val="none" w:sz="0" w:space="0" w:color="auto"/>
        <w:right w:val="none" w:sz="0" w:space="0" w:color="auto"/>
      </w:divBdr>
    </w:div>
    <w:div w:id="869147078">
      <w:bodyDiv w:val="1"/>
      <w:marLeft w:val="0"/>
      <w:marRight w:val="0"/>
      <w:marTop w:val="0"/>
      <w:marBottom w:val="0"/>
      <w:divBdr>
        <w:top w:val="none" w:sz="0" w:space="0" w:color="auto"/>
        <w:left w:val="none" w:sz="0" w:space="0" w:color="auto"/>
        <w:bottom w:val="none" w:sz="0" w:space="0" w:color="auto"/>
        <w:right w:val="none" w:sz="0" w:space="0" w:color="auto"/>
      </w:divBdr>
    </w:div>
    <w:div w:id="989214466">
      <w:bodyDiv w:val="1"/>
      <w:marLeft w:val="0"/>
      <w:marRight w:val="0"/>
      <w:marTop w:val="0"/>
      <w:marBottom w:val="0"/>
      <w:divBdr>
        <w:top w:val="none" w:sz="0" w:space="0" w:color="auto"/>
        <w:left w:val="none" w:sz="0" w:space="0" w:color="auto"/>
        <w:bottom w:val="none" w:sz="0" w:space="0" w:color="auto"/>
        <w:right w:val="none" w:sz="0" w:space="0" w:color="auto"/>
      </w:divBdr>
    </w:div>
    <w:div w:id="1188449241">
      <w:bodyDiv w:val="1"/>
      <w:marLeft w:val="0"/>
      <w:marRight w:val="0"/>
      <w:marTop w:val="0"/>
      <w:marBottom w:val="0"/>
      <w:divBdr>
        <w:top w:val="none" w:sz="0" w:space="0" w:color="auto"/>
        <w:left w:val="none" w:sz="0" w:space="0" w:color="auto"/>
        <w:bottom w:val="none" w:sz="0" w:space="0" w:color="auto"/>
        <w:right w:val="none" w:sz="0" w:space="0" w:color="auto"/>
      </w:divBdr>
    </w:div>
    <w:div w:id="1223635774">
      <w:bodyDiv w:val="1"/>
      <w:marLeft w:val="0"/>
      <w:marRight w:val="0"/>
      <w:marTop w:val="0"/>
      <w:marBottom w:val="0"/>
      <w:divBdr>
        <w:top w:val="none" w:sz="0" w:space="0" w:color="auto"/>
        <w:left w:val="none" w:sz="0" w:space="0" w:color="auto"/>
        <w:bottom w:val="none" w:sz="0" w:space="0" w:color="auto"/>
        <w:right w:val="none" w:sz="0" w:space="0" w:color="auto"/>
      </w:divBdr>
    </w:div>
    <w:div w:id="1332025040">
      <w:bodyDiv w:val="1"/>
      <w:marLeft w:val="0"/>
      <w:marRight w:val="0"/>
      <w:marTop w:val="0"/>
      <w:marBottom w:val="0"/>
      <w:divBdr>
        <w:top w:val="none" w:sz="0" w:space="0" w:color="auto"/>
        <w:left w:val="none" w:sz="0" w:space="0" w:color="auto"/>
        <w:bottom w:val="none" w:sz="0" w:space="0" w:color="auto"/>
        <w:right w:val="none" w:sz="0" w:space="0" w:color="auto"/>
      </w:divBdr>
    </w:div>
    <w:div w:id="1340429786">
      <w:bodyDiv w:val="1"/>
      <w:marLeft w:val="0"/>
      <w:marRight w:val="0"/>
      <w:marTop w:val="0"/>
      <w:marBottom w:val="0"/>
      <w:divBdr>
        <w:top w:val="none" w:sz="0" w:space="0" w:color="auto"/>
        <w:left w:val="none" w:sz="0" w:space="0" w:color="auto"/>
        <w:bottom w:val="none" w:sz="0" w:space="0" w:color="auto"/>
        <w:right w:val="none" w:sz="0" w:space="0" w:color="auto"/>
      </w:divBdr>
    </w:div>
    <w:div w:id="1546599114">
      <w:bodyDiv w:val="1"/>
      <w:marLeft w:val="0"/>
      <w:marRight w:val="0"/>
      <w:marTop w:val="0"/>
      <w:marBottom w:val="0"/>
      <w:divBdr>
        <w:top w:val="none" w:sz="0" w:space="0" w:color="auto"/>
        <w:left w:val="none" w:sz="0" w:space="0" w:color="auto"/>
        <w:bottom w:val="none" w:sz="0" w:space="0" w:color="auto"/>
        <w:right w:val="none" w:sz="0" w:space="0" w:color="auto"/>
      </w:divBdr>
    </w:div>
    <w:div w:id="171003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 Sadhwani</dc:creator>
  <cp:keywords/>
  <dc:description/>
  <cp:lastModifiedBy>Sara D. Sadhwani</cp:lastModifiedBy>
  <cp:revision>3</cp:revision>
  <dcterms:created xsi:type="dcterms:W3CDTF">2025-09-03T13:27:00Z</dcterms:created>
  <dcterms:modified xsi:type="dcterms:W3CDTF">2025-09-03T20:50:00Z</dcterms:modified>
</cp:coreProperties>
</file>